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40 vom 23. April 2020</w:t>
      </w:r>
    </w:p>
    <w:p>
      <w:r>
        <w:t>FR Kantonsgericht, 2020-04-23, FR</w:t>
      </w:r>
    </w:p>
    <w:p>
      <w:r>
        <w:rPr>
          <w:b/>
        </w:rPr>
        <w:t xml:space="preserve">Quelle: </w:t>
      </w:r>
      <w:r>
        <w:t>https://mcp.opencaselaw.ch/entscheid/fr_gerichte_101 2020 40</w:t>
      </w:r>
    </w:p>
    <w:p>
      <w:r>
        <w:t>FR: FR_GERICHTE 101 2020 40 du 23 avril 2020</w:t>
      </w:r>
    </w:p>
    <w:p>
      <w:r>
        <w:t>IT: FR_GERICHTE 101 2020 40 del 23 aprile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février 2020, le Président de la Cour a rejeté la requête d'assistance judiciaire, qui n'était pas motivée. Dans sa réponse du 12 mars 2020, B.________ conclut au rejet du recours et de la requête d'effet suspensif, sous suite de frais. Elle a également sollicité le bénéfice de l'assistance judiciaire, qui lui a été refusé par arrêt du 31 mars 2020. Par arrêt distinct du 31 mars 2020, la requête d'effet suspensif a aussi été rejetée. en droit 1. 1.1. Le recours est recevable, notamment, contre les décisions de première instance sur les mesures provisionnelles qui ne peuvent faire l'objet d'un appel (art. 319 let. a CPC), en particulier lorsque la valeur litigieuse est inférieure à CHF 10'000.- (art. 308 al. 2 CPC a contrario). Le délai de recours en procédure sommaire – qui régit notamment les mesures provisionnelles durant une</w:t>
      </w:r>
    </w:p>
    <w:p>
      <w:r>
        <w:t>Tribunal cantonal TC Page 3 de 5 procédure de divorce (art. 271 let. a CPC, par renvoi de l'art. 276 al. 1 CPC) – est de 10 jours (art. 321 al. 2 CPC). En l'espèce, la décision querellée a été notifiée au mandataire du recourant le 28 janvier 2020 (DO/114). Déposé le 3 février 2020, le recours a dès lors été interjeté en temps utile. Le mémoire est motivé et doté de conclusions. En outre, la valeur litigieuse s'élève à CHF 4'308.-, de sorte que la voie du recours est ouverte. Il s'ensuit la recevabilité du recours. 1.2. La cognition de la Cour est pleine et entière en droit ; en revanche, s'agissant des faits, elle est limitée à leur constatation manifestement inexacte (art. 320 CPC). 1.3. En application de l'art. 326 al. 1 CPC, les conclusions, allégations de faits et preuves nouvelles sont irrecevables. En l'espèce, le recourant produit nouvellement devant la Cour un courriel de la Banque G.________ du 29 janvier 2020 (pièce 9). Il allègue de plus que les actions de la société F.________ SA ne peuvent être mises en gage et que celles de E.________ SA, surendettée, ne valent plus rien (recours, p. 5). Ces éléments, invoqués pour la première fois dans la procédure de recours, sont irrecevables. 1.4. La Cour statue sur pièces, conformément à l'art. 327 al. 2 CPC. 2. 2.1. La 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(arrêt TF 5A_808/2016 du 21 mars 2017 consid. 4.1.) et si l'époux requérant ne dispose pas lui-même des moyens suffisants pour assumer les frais du procès en divorce (arrêt TF 5A_778/2012 du 24 janvier 2013 consid. 6.1). 2.2. En l'espèce, le premier juge a retenu que B.________, qui perçoit une demi-rente AI à hauteur de CHF 1'185.- par mois, a des charges pour CHF 3'431.30, d'où un déficit de CHF 2'246.30. Il a estimé que son indigence était patente (décision attaquée, p. 3). Le recourant conteste cette appréciation. Il fait valoir qu'en plus de sa demi-rente AI, son épouse perçoit des rentes complémentaires pour ses filles, de CHF 474.- chacune, ainsi que les allocations familiales et les pensions de CHF 2'100.- qu'il verse pour chaque enfant. Il en déduit que l'intimée dégage un bénéfice et qu'elle n'a pas besoin d'une provision. 2.2.1. En matière de faits, la cognition de la Cour est limitée à leur constatation manifestement inexacte (supra, consid. 1.2). La notion de "faits établis de façon manifestement inexacte" se recoupe avec celle d'arbitraire dans l'appréciation des preuves ou d'arbitraire dans l'établissement des faits (ATF 138 III 232 consid. 4.1.2). Il n’y a pas arbitraire du seul fait qu’une autre solution entre également en considération, ou serait même préférable, mais seulement si la décision attaquée est manifestement insoutenable, est clairement en contradiction avec la situation de fait, viole de manière crasse une norme ou un principe juridique incontesté ou contrevient de manière choquante aux considérations de justice (arrêt TF 4A_304/2018 du 23 octobre 2018 consid. 3.2.1 et les réf. citées). Dès lors, l’appréciation des preuves n’est pas déjà arbitraire lorsqu’elle ne concorde pas avec la présentation du recourant, mais seulement lorsqu’elle est manifestement insoutenable (ATF 140 III 264 consid. 2.3), et ce non seulement dans sa motivation mais aussi dans son résultat (ATF 139 III 334 consid. 3.2.5).</w:t>
      </w:r>
    </w:p>
    <w:p>
      <w:r>
        <w:t>Tribunal cantonal TC Page 4 de 5 2.2.2. Le recourant s'en prend certes à l'établissement des faits, mais à aucun moment il ne tente de démontrer que le Président les aurait constatés d'une manière arbitraire. La recevabilité de sa critique paraît dès lors douteuse. Quoi qu'il en soit, il n'est pas manifestement inexact de ne se fonder que sur les revenus propres de l'intimée, dans la mesure où les rentes complémentaires pour enfants et les allocations familiales sont destinées à couvrir les besoins de C.________ et D.________, et non à assumer les frais de l'avocate mandatée par leur mère dans la procédure de divorce. Quant aux contributions d'entretien versées par le recourant, il est vrai qu'au vu de leur montant, elles comprennent vraisemblablement une contribution de prise en charge, au sens de l'art. 285 al. 2 CC, qui a pour vocation de compenser le montant qui manque au parent gardien pour couvrir ses propres frais de subsistance, soit son déficit (ATF 144 III 177 consid. 7.1.2.2). Cependant, les contributions d’entretien ont en principe pour but de couvrir les besoins courants des bénéficiaires, et non de servir, comme la provisio ad litem, à assumer les frais du procès. L’octroi d’une telle provision peut donc être justifié indépendamment du montant de la contribution d’entretien (arrêt TF 5A_808/2016 du 21 mars 2017 consid. 4.1). Au vu de ce qui précède, c'est sans arbitraire que le premier juge a considéré comme établi que l'épouse a besoin d'une provisio ad litem pour assumer les frais du procès. 2.3. S'agissant de la seconde condition pour octroyer une provision, à savoir la présence de moyens financiers de l'époux astreint à ce versement sans entamer son minimum vital, la décision attaquée retient que A.________ a admis détenir des actions de la société F.________ SA, d'une valeur de CHF 130'000.-. D'une part, le premier juge a considéré qu'il pouvait les mettre en gage et obtenir un prêt, par exemple de CHF 15'000.-. D'autre part, il a retenu que, dans la mesure où l'avis de taxation 2018 mentionnait des placements privés pour CHF 175'831.-, le mari disposait, outre les actions précitées, de placements pour un montant de l'ordre de CHF 65'000.-. Dès lors, il était en mesure de servir une provisio ad litem de CHF 4'000.- + TVA (décision attaquée, p. 4-5). 2.3.1. Le recourant fait valoir que les actions de la société F.________ SA ne sont pas liquides et ne peuvent être mises en gage, comme cela ressort de la pièce 9 nouvellement produite devant la Cour. De plus, il reproche au Président de ne lui avoir octroyé aucun délai pour tenter de dégager d'éventuelles liquidités. Enfin, il soutient que la "prétendue valeur résiduelle de l'ordre de CHF 65'000.-, évoquée en relation avec l'avis de taxation 2018 (…), résulte de la différence entre la taxation précédente et l'actuelle, étant donné que E.________ SA annonce une perte supérieure à son capital" (recours, p. 4-5). 2.3.2. Outre le fait que l'une des critiques du recourant se fonde sur un élément irrecevable (supra, consid. 1.3), il faut constater là encore qu'à aucun moment il ne tente de démontrer que le Président aurait établi les faits de manière manifestement inexacte. En particulier, s'il conteste disposer, à côté des actions de F.________ SA pour lesquelles il admet une valeur de CHF 130'000.- (DO/105), d'autres placements privés, l'on doit relever avec le premier juge que son avis de taxation 2018 du 21 novembre 2019 indique des placements privés totaux de CHF 175'831.-, d'où une différence de CHF 45'831.- (et non CHF 65'000.-), montant pour lequel il ne fournit aucune explication plausible. Dans ces conditions, il n'est pas décisif de déterminer s'il convient de laisser au recourant un délai pour dégager des liquidités. Au vu de ce qui précède, c'est sans arbitraire que le Président a retenu la possibilité financière pour l'époux de verser une provisio ad litem de CHF 4'000.-. 2.4. Mal fondé, le recours ne peut ainsi être que rejeté.</w:t>
      </w:r>
    </w:p>
    <w:p>
      <w:r>
        <w:t>Tribunal cantonal TC Page 5 de 5 3. 3.1. Vu le sort du recours, les frais doivent en être mis à la charge de A.________ (art. 106 al. 1 CPC). Ils comprennent notamment les frais de justice dus à l'Etat, fixés à CHF 800.-, qui seront prélevés sur son avance de frais (art. 111 al. 1 CPC). 3.2.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arrêtés globalement à la somme de CHF 1'000.-, débours compris, plus la TVA par CHF 77.- (7.7 % de CHF 1'000.-). la Cour arrête : I. Le recours est rejeté. Partant, la décision prononcée le 23 janvier 2020 par le Président du Tribunal civil de la Glâne est confirmée. II. Les frais de la procédure de recours sont mis à la charge de A.________. Ils comprennent notamment les frais de justice dus à l'Etat, fixés à CHF 800.-, qui seront prélevés sur son avance de frais III. Les dépens d'appel de B.________ sont fixés globalement à la somme de CHF 1'000.-, plus la TVA par CHF 77.-.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avril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